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510B" w14:textId="7BCD5BF8" w:rsidR="00876989" w:rsidRPr="007B56C5" w:rsidRDefault="00876989" w:rsidP="00876989">
      <w:pPr>
        <w:pStyle w:val="NoSpacing"/>
        <w:jc w:val="both"/>
        <w:rPr>
          <w:rFonts w:ascii="Arial" w:hAnsi="Arial" w:cs="Arial"/>
          <w:b/>
          <w:bCs/>
          <w:color w:val="00AFD7" w:themeColor="accent1"/>
          <w:sz w:val="24"/>
          <w:szCs w:val="24"/>
          <w:lang w:val="es-CR"/>
        </w:rPr>
      </w:pPr>
      <w:r w:rsidRPr="007B56C5">
        <w:rPr>
          <w:rFonts w:ascii="Arial" w:hAnsi="Arial" w:cs="Arial"/>
          <w:b/>
          <w:bCs/>
          <w:color w:val="00AFD7" w:themeColor="accent1"/>
          <w:sz w:val="24"/>
          <w:szCs w:val="24"/>
          <w:lang w:val="es-CR"/>
        </w:rPr>
        <w:t>Sobre el Info</w:t>
      </w:r>
      <w:r w:rsidR="00DB593F">
        <w:rPr>
          <w:rFonts w:ascii="Arial" w:hAnsi="Arial" w:cs="Arial"/>
          <w:b/>
          <w:bCs/>
          <w:color w:val="00AFD7" w:themeColor="accent1"/>
          <w:sz w:val="24"/>
          <w:szCs w:val="24"/>
          <w:lang w:val="es-CR"/>
        </w:rPr>
        <w:t>r</w:t>
      </w:r>
      <w:bookmarkStart w:id="0" w:name="_GoBack"/>
      <w:bookmarkEnd w:id="0"/>
      <w:r w:rsidRPr="007B56C5">
        <w:rPr>
          <w:rFonts w:ascii="Arial" w:hAnsi="Arial" w:cs="Arial"/>
          <w:b/>
          <w:bCs/>
          <w:color w:val="00AFD7" w:themeColor="accent1"/>
          <w:sz w:val="24"/>
          <w:szCs w:val="24"/>
          <w:lang w:val="es-CR"/>
        </w:rPr>
        <w:t>me</w:t>
      </w:r>
    </w:p>
    <w:p w14:paraId="355C612B" w14:textId="00A98BFE" w:rsidR="00876989" w:rsidRPr="007B56C5" w:rsidRDefault="00876989" w:rsidP="000366AC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es-CR"/>
        </w:rPr>
      </w:pPr>
      <w:r w:rsidRPr="007B56C5">
        <w:rPr>
          <w:rFonts w:ascii="Arial" w:hAnsi="Arial" w:cs="Arial"/>
          <w:lang w:val="es-CR"/>
        </w:rPr>
        <w:t xml:space="preserve">Busca reflejar la contribución real de la vivienda </w:t>
      </w:r>
      <w:r w:rsidR="004B7248" w:rsidRPr="007B56C5">
        <w:rPr>
          <w:rFonts w:ascii="Arial" w:hAnsi="Arial" w:cs="Arial"/>
          <w:lang w:val="es-CR"/>
        </w:rPr>
        <w:t xml:space="preserve">en el </w:t>
      </w:r>
      <w:r w:rsidR="00043EEC" w:rsidRPr="007B56C5">
        <w:rPr>
          <w:rFonts w:ascii="Arial" w:hAnsi="Arial" w:cs="Arial"/>
          <w:lang w:val="es-CR"/>
        </w:rPr>
        <w:t>P</w:t>
      </w:r>
      <w:r w:rsidRPr="007B56C5">
        <w:rPr>
          <w:rFonts w:ascii="Arial" w:hAnsi="Arial" w:cs="Arial"/>
          <w:lang w:val="es-CR"/>
        </w:rPr>
        <w:t xml:space="preserve">roducto </w:t>
      </w:r>
      <w:r w:rsidR="00043EEC" w:rsidRPr="007B56C5">
        <w:rPr>
          <w:rFonts w:ascii="Arial" w:hAnsi="Arial" w:cs="Arial"/>
          <w:lang w:val="es-CR"/>
        </w:rPr>
        <w:t>I</w:t>
      </w:r>
      <w:r w:rsidRPr="007B56C5">
        <w:rPr>
          <w:rFonts w:ascii="Arial" w:hAnsi="Arial" w:cs="Arial"/>
          <w:lang w:val="es-CR"/>
        </w:rPr>
        <w:t xml:space="preserve">nterno </w:t>
      </w:r>
      <w:r w:rsidR="00043EEC" w:rsidRPr="007B56C5">
        <w:rPr>
          <w:rFonts w:ascii="Arial" w:hAnsi="Arial" w:cs="Arial"/>
          <w:lang w:val="es-CR"/>
        </w:rPr>
        <w:t>B</w:t>
      </w:r>
      <w:r w:rsidRPr="007B56C5">
        <w:rPr>
          <w:rFonts w:ascii="Arial" w:hAnsi="Arial" w:cs="Arial"/>
          <w:lang w:val="es-CR"/>
        </w:rPr>
        <w:t>ruto (PIB) mediante el uso de estándares de cálculo aceptados internacionalmente.</w:t>
      </w:r>
    </w:p>
    <w:p w14:paraId="3408896F" w14:textId="10953DD2" w:rsidR="00876989" w:rsidRPr="007B56C5" w:rsidRDefault="00876989" w:rsidP="000366AC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es-CR"/>
        </w:rPr>
      </w:pPr>
      <w:r w:rsidRPr="007B56C5">
        <w:rPr>
          <w:rFonts w:ascii="Arial" w:hAnsi="Arial" w:cs="Arial"/>
          <w:lang w:val="es-CR"/>
        </w:rPr>
        <w:t xml:space="preserve">Dimensiona el sector de la vivienda en 11 países </w:t>
      </w:r>
      <w:r w:rsidR="004B7248" w:rsidRPr="007B56C5">
        <w:rPr>
          <w:rFonts w:ascii="Arial" w:hAnsi="Arial" w:cs="Arial"/>
          <w:lang w:val="es-CR"/>
        </w:rPr>
        <w:t>analizados</w:t>
      </w:r>
      <w:r w:rsidRPr="007B56C5">
        <w:rPr>
          <w:rFonts w:ascii="Arial" w:hAnsi="Arial" w:cs="Arial"/>
          <w:lang w:val="es-CR"/>
        </w:rPr>
        <w:t xml:space="preserve">, representando tanto la inversión en </w:t>
      </w:r>
      <w:r w:rsidR="004B7248" w:rsidRPr="007B56C5">
        <w:rPr>
          <w:rFonts w:ascii="Arial" w:hAnsi="Arial" w:cs="Arial"/>
          <w:lang w:val="es-CR"/>
        </w:rPr>
        <w:t>vivienda, así</w:t>
      </w:r>
      <w:r w:rsidRPr="007B56C5">
        <w:rPr>
          <w:rFonts w:ascii="Arial" w:hAnsi="Arial" w:cs="Arial"/>
          <w:lang w:val="es-CR"/>
        </w:rPr>
        <w:t xml:space="preserve"> como el consumo de vivienda. Hay evidencia limitada sobre el tamaño total de las inversiones en vivienda en la mayoría de las economías en desarrollo.</w:t>
      </w:r>
    </w:p>
    <w:p w14:paraId="468D46DC" w14:textId="0AE0ABA1" w:rsidR="00876989" w:rsidRPr="007B56C5" w:rsidRDefault="00876989" w:rsidP="000366AC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es-CR"/>
        </w:rPr>
      </w:pPr>
      <w:r w:rsidRPr="007B56C5">
        <w:rPr>
          <w:rFonts w:ascii="Arial" w:hAnsi="Arial" w:cs="Arial"/>
          <w:lang w:val="es-CR"/>
        </w:rPr>
        <w:t xml:space="preserve">Explora la posible subestimación del sector de la vivienda por las estadísticas oficiales, ya que </w:t>
      </w:r>
      <w:r w:rsidR="004B7248" w:rsidRPr="007B56C5">
        <w:rPr>
          <w:rFonts w:ascii="Arial" w:hAnsi="Arial" w:cs="Arial"/>
          <w:lang w:val="es-CR"/>
        </w:rPr>
        <w:t xml:space="preserve">es probable que, en las estimaciones, la vivienda informal y los servicios de vivienda estén desestimados o del todo no se incluyan en los balances nacionales. </w:t>
      </w:r>
    </w:p>
    <w:p w14:paraId="34E4301A" w14:textId="4F8AD46B" w:rsidR="00876989" w:rsidRPr="007B56C5" w:rsidRDefault="00876989" w:rsidP="000366AC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es-CR"/>
        </w:rPr>
      </w:pPr>
      <w:r w:rsidRPr="007B56C5">
        <w:rPr>
          <w:rFonts w:ascii="Arial" w:hAnsi="Arial" w:cs="Arial"/>
          <w:lang w:val="es-CR"/>
        </w:rPr>
        <w:t>Examina si el sector de la vivienda podría apoyar la recuperación económica al tiempo que crea viviendas más seguras y saludables para los hogares de bajos ingresos</w:t>
      </w:r>
      <w:r w:rsidR="004B7248" w:rsidRPr="007B56C5">
        <w:rPr>
          <w:rFonts w:ascii="Arial" w:hAnsi="Arial" w:cs="Arial"/>
          <w:lang w:val="es-CR"/>
        </w:rPr>
        <w:t xml:space="preserve"> y así, impactar positivamente en la baja de la propagación del COVID-19</w:t>
      </w:r>
      <w:r w:rsidRPr="007B56C5">
        <w:rPr>
          <w:rFonts w:ascii="Arial" w:hAnsi="Arial" w:cs="Arial"/>
          <w:lang w:val="es-CR"/>
        </w:rPr>
        <w:t>.</w:t>
      </w:r>
    </w:p>
    <w:p w14:paraId="42D3781D" w14:textId="39525792" w:rsidR="00876989" w:rsidRPr="007B56C5" w:rsidRDefault="00876989" w:rsidP="000366AC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es-CR"/>
        </w:rPr>
      </w:pPr>
      <w:r w:rsidRPr="007B56C5">
        <w:rPr>
          <w:rFonts w:ascii="Arial" w:hAnsi="Arial" w:cs="Arial"/>
          <w:lang w:val="es-CR"/>
        </w:rPr>
        <w:t>Ofrece propuestas de vivienda inclusiva para el sector público y privado para dar respuesta al COVID-19.</w:t>
      </w:r>
    </w:p>
    <w:p w14:paraId="068DAB96" w14:textId="77777777" w:rsidR="000366AC" w:rsidRPr="007B56C5" w:rsidRDefault="000366AC" w:rsidP="000366AC">
      <w:pPr>
        <w:pStyle w:val="NoSpacing"/>
        <w:jc w:val="both"/>
        <w:rPr>
          <w:rFonts w:ascii="Arial" w:hAnsi="Arial" w:cs="Arial"/>
          <w:b/>
          <w:bCs/>
          <w:color w:val="00AFD7" w:themeColor="accent1"/>
          <w:sz w:val="24"/>
          <w:szCs w:val="24"/>
          <w:lang w:val="es-CR"/>
        </w:rPr>
      </w:pPr>
    </w:p>
    <w:p w14:paraId="7FABE893" w14:textId="5292665E" w:rsidR="000366AC" w:rsidRPr="007B56C5" w:rsidRDefault="00A639AC" w:rsidP="000366AC">
      <w:pPr>
        <w:pStyle w:val="NoSpacing"/>
        <w:jc w:val="both"/>
        <w:rPr>
          <w:rFonts w:ascii="Arial" w:hAnsi="Arial" w:cs="Arial"/>
          <w:b/>
          <w:bCs/>
          <w:color w:val="00AFD7" w:themeColor="accent1"/>
          <w:sz w:val="24"/>
          <w:szCs w:val="24"/>
          <w:lang w:val="es-CR"/>
        </w:rPr>
      </w:pPr>
      <w:r w:rsidRPr="007B56C5">
        <w:rPr>
          <w:rFonts w:ascii="Arial" w:hAnsi="Arial" w:cs="Arial"/>
          <w:b/>
          <w:bCs/>
          <w:color w:val="00AFD7" w:themeColor="accent1"/>
          <w:sz w:val="24"/>
          <w:szCs w:val="24"/>
          <w:lang w:val="es-CR"/>
        </w:rPr>
        <w:t>Resultados clave</w:t>
      </w:r>
    </w:p>
    <w:p w14:paraId="371FA082" w14:textId="6FCE39C4" w:rsidR="00820C40" w:rsidRPr="007B56C5" w:rsidRDefault="00820C40" w:rsidP="00820C4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es-CR"/>
        </w:rPr>
      </w:pPr>
      <w:r w:rsidRPr="000D3200">
        <w:rPr>
          <w:rFonts w:ascii="Arial" w:hAnsi="Arial" w:cs="Arial"/>
          <w:b/>
          <w:bCs/>
          <w:lang w:val="es-CR"/>
        </w:rPr>
        <w:t>La vivienda contribuye al PIB más de lo esperado</w:t>
      </w:r>
      <w:r w:rsidRPr="007B56C5">
        <w:rPr>
          <w:rFonts w:ascii="Arial" w:hAnsi="Arial" w:cs="Arial"/>
          <w:lang w:val="es-CR"/>
        </w:rPr>
        <w:t xml:space="preserve"> cuando se contabilizan tanto la inversión en vivienda como los servicios de vivienda, con un promedio de más del 13 </w:t>
      </w:r>
      <w:r w:rsidR="004B7248" w:rsidRPr="007B56C5">
        <w:rPr>
          <w:rFonts w:ascii="Arial" w:hAnsi="Arial" w:cs="Arial"/>
          <w:lang w:val="es-CR"/>
        </w:rPr>
        <w:t>%</w:t>
      </w:r>
      <w:r w:rsidRPr="007B56C5">
        <w:rPr>
          <w:rFonts w:ascii="Arial" w:hAnsi="Arial" w:cs="Arial"/>
          <w:lang w:val="es-CR"/>
        </w:rPr>
        <w:t xml:space="preserve"> del PIB en los países de la muestra en el informe.</w:t>
      </w:r>
    </w:p>
    <w:p w14:paraId="535D60FC" w14:textId="3111254C" w:rsidR="00820C40" w:rsidRPr="007B56C5" w:rsidRDefault="00820C40" w:rsidP="004B7248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es-CR"/>
        </w:rPr>
      </w:pPr>
      <w:r w:rsidRPr="007B56C5">
        <w:rPr>
          <w:rFonts w:ascii="Arial" w:hAnsi="Arial" w:cs="Arial"/>
          <w:lang w:val="es-CR"/>
        </w:rPr>
        <w:t xml:space="preserve">Aun así, </w:t>
      </w:r>
      <w:r w:rsidRPr="000D3200">
        <w:rPr>
          <w:rFonts w:ascii="Arial" w:hAnsi="Arial" w:cs="Arial"/>
          <w:b/>
          <w:bCs/>
          <w:lang w:val="es-CR"/>
        </w:rPr>
        <w:t>la contribución al PIB de la vivienda puede ser aún mayor</w:t>
      </w:r>
      <w:r w:rsidRPr="007B56C5">
        <w:rPr>
          <w:rFonts w:ascii="Arial" w:hAnsi="Arial" w:cs="Arial"/>
          <w:lang w:val="es-CR"/>
        </w:rPr>
        <w:t xml:space="preserve">, ya que es probable que la vivienda informal y los servicios </w:t>
      </w:r>
      <w:r w:rsidR="004B7248" w:rsidRPr="007B56C5">
        <w:rPr>
          <w:rFonts w:ascii="Arial" w:hAnsi="Arial" w:cs="Arial"/>
          <w:lang w:val="es-CR"/>
        </w:rPr>
        <w:t xml:space="preserve">estén desestimados o del todo no se incluyan en los balances nacionales. </w:t>
      </w:r>
      <w:r w:rsidRPr="007B56C5">
        <w:rPr>
          <w:rFonts w:ascii="Arial" w:hAnsi="Arial" w:cs="Arial"/>
          <w:lang w:val="es-CR"/>
        </w:rPr>
        <w:t xml:space="preserve">La vivienda informal por sí sola podría contribuir de un 1,5 a un 2,8 </w:t>
      </w:r>
      <w:r w:rsidR="004B7248" w:rsidRPr="007B56C5">
        <w:rPr>
          <w:rFonts w:ascii="Arial" w:hAnsi="Arial" w:cs="Arial"/>
          <w:lang w:val="es-CR"/>
        </w:rPr>
        <w:t>%</w:t>
      </w:r>
      <w:r w:rsidRPr="007B56C5">
        <w:rPr>
          <w:rFonts w:ascii="Arial" w:hAnsi="Arial" w:cs="Arial"/>
          <w:lang w:val="es-CR"/>
        </w:rPr>
        <w:t xml:space="preserve"> adicional al PIB en promedio, si se contabiliza adecuadamente.</w:t>
      </w:r>
    </w:p>
    <w:p w14:paraId="0189CFB2" w14:textId="7C54F949" w:rsidR="004B7248" w:rsidRPr="007B56C5" w:rsidRDefault="00820C40" w:rsidP="00820C4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es-CR"/>
        </w:rPr>
      </w:pPr>
      <w:r w:rsidRPr="007B56C5">
        <w:rPr>
          <w:rFonts w:ascii="Arial" w:hAnsi="Arial" w:cs="Arial"/>
          <w:lang w:val="es-CR"/>
        </w:rPr>
        <w:t xml:space="preserve">Si bien </w:t>
      </w:r>
      <w:r w:rsidRPr="000D3200">
        <w:rPr>
          <w:rFonts w:ascii="Arial" w:hAnsi="Arial" w:cs="Arial"/>
          <w:b/>
          <w:bCs/>
          <w:lang w:val="es-CR"/>
        </w:rPr>
        <w:t>las intervenciones en el sector de la vivienda pueden producir grandes efectos de estímulo económico, los gobiernos no las utilizan de manera prominente</w:t>
      </w:r>
      <w:r w:rsidR="004B7248" w:rsidRPr="000D3200">
        <w:rPr>
          <w:rFonts w:ascii="Arial" w:hAnsi="Arial" w:cs="Arial"/>
          <w:b/>
          <w:bCs/>
          <w:lang w:val="es-CR"/>
        </w:rPr>
        <w:t>.</w:t>
      </w:r>
    </w:p>
    <w:p w14:paraId="52670BA0" w14:textId="50F7C61C" w:rsidR="004B7248" w:rsidRPr="000D3200" w:rsidRDefault="004B7248" w:rsidP="004B7248">
      <w:pPr>
        <w:pStyle w:val="NoSpacing"/>
        <w:numPr>
          <w:ilvl w:val="0"/>
          <w:numId w:val="32"/>
        </w:numPr>
        <w:jc w:val="both"/>
        <w:rPr>
          <w:rFonts w:ascii="Arial" w:hAnsi="Arial" w:cs="Arial"/>
          <w:b/>
          <w:bCs/>
          <w:lang w:val="es-CR"/>
        </w:rPr>
      </w:pPr>
      <w:r w:rsidRPr="007B56C5">
        <w:rPr>
          <w:rFonts w:ascii="Arial" w:hAnsi="Arial" w:cs="Arial"/>
          <w:lang w:val="es-CR"/>
        </w:rPr>
        <w:t xml:space="preserve">Los países no están al tanto de esto, prueba de ello es que </w:t>
      </w:r>
      <w:r w:rsidRPr="000D3200">
        <w:rPr>
          <w:rFonts w:ascii="Arial" w:hAnsi="Arial" w:cs="Arial"/>
          <w:b/>
          <w:bCs/>
          <w:lang w:val="es-CR"/>
        </w:rPr>
        <w:t xml:space="preserve">de los 196 que han desarrollado una respuesta económica a la pandemia al </w:t>
      </w:r>
      <w:hyperlink r:id="rId12" w:history="1">
        <w:r w:rsidRPr="000D3200">
          <w:rPr>
            <w:rFonts w:ascii="Arial" w:hAnsi="Arial" w:cs="Arial"/>
            <w:b/>
            <w:bCs/>
            <w:lang w:val="es-CR"/>
          </w:rPr>
          <w:t>Fondo Monetario Internacional</w:t>
        </w:r>
      </w:hyperlink>
      <w:r w:rsidRPr="000D3200">
        <w:rPr>
          <w:rFonts w:ascii="Arial" w:hAnsi="Arial" w:cs="Arial"/>
          <w:b/>
          <w:bCs/>
          <w:lang w:val="es-CR"/>
        </w:rPr>
        <w:t xml:space="preserve">, solo 22 países (un 11 %) incluyeron explícitamente iniciativas de vivienda. </w:t>
      </w:r>
    </w:p>
    <w:p w14:paraId="5B8E8D1F" w14:textId="0DA26BD3" w:rsidR="000366AC" w:rsidRPr="007B56C5" w:rsidRDefault="00820C40" w:rsidP="00820C40">
      <w:pPr>
        <w:pStyle w:val="NoSpacing"/>
        <w:numPr>
          <w:ilvl w:val="0"/>
          <w:numId w:val="32"/>
        </w:numPr>
        <w:jc w:val="both"/>
        <w:rPr>
          <w:rFonts w:ascii="Arial" w:hAnsi="Arial" w:cs="Arial"/>
          <w:lang w:val="es-CR"/>
        </w:rPr>
      </w:pPr>
      <w:r w:rsidRPr="007B56C5">
        <w:rPr>
          <w:rFonts w:ascii="Arial" w:hAnsi="Arial" w:cs="Arial"/>
          <w:lang w:val="es-CR"/>
        </w:rPr>
        <w:t xml:space="preserve">Si se llevaran adelante </w:t>
      </w:r>
      <w:r w:rsidRPr="000D3200">
        <w:rPr>
          <w:rFonts w:ascii="Arial" w:hAnsi="Arial" w:cs="Arial"/>
          <w:b/>
          <w:bCs/>
          <w:lang w:val="es-CR"/>
        </w:rPr>
        <w:t>políticas de vivienda inclusiva</w:t>
      </w:r>
      <w:r w:rsidRPr="007B56C5">
        <w:rPr>
          <w:rFonts w:ascii="Arial" w:hAnsi="Arial" w:cs="Arial"/>
          <w:lang w:val="es-CR"/>
        </w:rPr>
        <w:t xml:space="preserve">, también proporcionarían importantes </w:t>
      </w:r>
      <w:r w:rsidRPr="000D3200">
        <w:rPr>
          <w:rFonts w:ascii="Arial" w:hAnsi="Arial" w:cs="Arial"/>
          <w:lang w:val="es-CR"/>
        </w:rPr>
        <w:t>beneficios sociales,</w:t>
      </w:r>
      <w:r w:rsidRPr="007B56C5">
        <w:rPr>
          <w:rFonts w:ascii="Arial" w:hAnsi="Arial" w:cs="Arial"/>
          <w:lang w:val="es-CR"/>
        </w:rPr>
        <w:t xml:space="preserve"> incluidas mejoras en las condiciones de vivienda, </w:t>
      </w:r>
      <w:r w:rsidRPr="000D3200">
        <w:rPr>
          <w:rFonts w:ascii="Arial" w:hAnsi="Arial" w:cs="Arial"/>
          <w:b/>
          <w:bCs/>
          <w:lang w:val="es-CR"/>
        </w:rPr>
        <w:t>bienestar individual y mejoras en la salud</w:t>
      </w:r>
      <w:r w:rsidRPr="007B56C5">
        <w:rPr>
          <w:rFonts w:ascii="Arial" w:hAnsi="Arial" w:cs="Arial"/>
          <w:lang w:val="es-CR"/>
        </w:rPr>
        <w:t xml:space="preserve"> de la comunidad</w:t>
      </w:r>
      <w:r w:rsidR="004B7248" w:rsidRPr="007B56C5">
        <w:rPr>
          <w:rFonts w:ascii="Arial" w:hAnsi="Arial" w:cs="Arial"/>
          <w:lang w:val="es-CR"/>
        </w:rPr>
        <w:t xml:space="preserve"> frente a una pandemia</w:t>
      </w:r>
      <w:r w:rsidRPr="007B56C5">
        <w:rPr>
          <w:rFonts w:ascii="Arial" w:hAnsi="Arial" w:cs="Arial"/>
          <w:lang w:val="es-CR"/>
        </w:rPr>
        <w:t>.</w:t>
      </w:r>
    </w:p>
    <w:p w14:paraId="06C8B3C2" w14:textId="77777777" w:rsidR="000366AC" w:rsidRPr="007B56C5" w:rsidRDefault="000366AC" w:rsidP="00480378">
      <w:pPr>
        <w:pStyle w:val="NoSpacing"/>
        <w:jc w:val="both"/>
        <w:rPr>
          <w:rFonts w:ascii="Arial" w:hAnsi="Arial" w:cs="Arial"/>
          <w:b/>
          <w:bCs/>
          <w:color w:val="00AFD7" w:themeColor="accent1"/>
          <w:sz w:val="24"/>
          <w:szCs w:val="24"/>
          <w:lang w:val="es-CR"/>
        </w:rPr>
      </w:pPr>
      <w:r w:rsidRPr="007B56C5">
        <w:rPr>
          <w:rFonts w:ascii="Arial" w:hAnsi="Arial" w:cs="Arial"/>
          <w:b/>
          <w:bCs/>
          <w:color w:val="00AFD7" w:themeColor="accent1"/>
          <w:sz w:val="24"/>
          <w:szCs w:val="24"/>
          <w:lang w:val="es-CR"/>
        </w:rPr>
        <w:t xml:space="preserve"> </w:t>
      </w:r>
    </w:p>
    <w:p w14:paraId="3FBE9C0D" w14:textId="77777777" w:rsidR="00201E8D" w:rsidRPr="007B56C5" w:rsidRDefault="00201E8D" w:rsidP="00201E8D">
      <w:pPr>
        <w:pStyle w:val="NoSpacing"/>
        <w:jc w:val="both"/>
        <w:rPr>
          <w:rFonts w:ascii="Arial" w:hAnsi="Arial" w:cs="Arial"/>
          <w:b/>
          <w:bCs/>
          <w:color w:val="00AFD7" w:themeColor="accent1"/>
          <w:sz w:val="24"/>
          <w:szCs w:val="24"/>
          <w:lang w:val="es-CR"/>
        </w:rPr>
      </w:pPr>
      <w:r w:rsidRPr="007B56C5">
        <w:rPr>
          <w:rFonts w:ascii="Arial" w:hAnsi="Arial" w:cs="Arial"/>
          <w:b/>
          <w:bCs/>
          <w:color w:val="00AFD7" w:themeColor="accent1"/>
          <w:sz w:val="24"/>
          <w:szCs w:val="24"/>
          <w:lang w:val="es-CR"/>
        </w:rPr>
        <w:t>Llamada a la acción</w:t>
      </w:r>
    </w:p>
    <w:p w14:paraId="0E7586F4" w14:textId="77777777" w:rsidR="00201E8D" w:rsidRPr="007B56C5" w:rsidRDefault="00201E8D" w:rsidP="004B7248">
      <w:pPr>
        <w:pStyle w:val="NoSpacing"/>
        <w:jc w:val="both"/>
        <w:rPr>
          <w:rFonts w:ascii="Arial" w:hAnsi="Arial" w:cs="Arial"/>
          <w:lang w:val="es-CR"/>
        </w:rPr>
      </w:pPr>
      <w:r w:rsidRPr="007B56C5">
        <w:rPr>
          <w:rFonts w:ascii="Arial" w:hAnsi="Arial" w:cs="Arial"/>
          <w:lang w:val="es-CR"/>
        </w:rPr>
        <w:t>Con base en estos hallazgos, las organizaciones internacionales, los gobiernos nacionales y locales, el sector privado y las organizaciones sin fines de lucro deberían:</w:t>
      </w:r>
    </w:p>
    <w:p w14:paraId="54EDBDC2" w14:textId="77777777" w:rsidR="004B7248" w:rsidRPr="007B56C5" w:rsidRDefault="004B7248" w:rsidP="004B7248">
      <w:pPr>
        <w:pStyle w:val="ListParagraph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lang w:val="es-CR"/>
        </w:rPr>
      </w:pPr>
      <w:r w:rsidRPr="007B56C5">
        <w:rPr>
          <w:rFonts w:ascii="Arial" w:eastAsia="Times New Roman" w:hAnsi="Arial" w:cs="Arial"/>
          <w:b/>
          <w:bCs/>
          <w:lang w:val="es-CR"/>
        </w:rPr>
        <w:t>Empezar por la vivienda</w:t>
      </w:r>
      <w:r w:rsidRPr="007B56C5">
        <w:rPr>
          <w:rFonts w:ascii="Arial" w:eastAsia="Times New Roman" w:hAnsi="Arial" w:cs="Arial"/>
          <w:lang w:val="es-CR"/>
        </w:rPr>
        <w:t xml:space="preserve"> – Hacer de la vivienda una intervención fundamental para estimular la recuperación económica ante el COVID-19, no solo por sus significativos efectos en la economía, sino también por sus beneficios sociales y a la salud.</w:t>
      </w:r>
    </w:p>
    <w:p w14:paraId="36D1F4D3" w14:textId="77777777" w:rsidR="004B7248" w:rsidRPr="007B56C5" w:rsidRDefault="004B7248" w:rsidP="004B724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es-CR"/>
        </w:rPr>
      </w:pPr>
      <w:r w:rsidRPr="007B56C5">
        <w:rPr>
          <w:rFonts w:ascii="Arial" w:hAnsi="Arial" w:cs="Arial"/>
          <w:b/>
          <w:bCs/>
          <w:lang w:val="es-CR"/>
        </w:rPr>
        <w:t>Visibilizar el tema de vivienda</w:t>
      </w:r>
      <w:r w:rsidRPr="007B56C5">
        <w:rPr>
          <w:rFonts w:ascii="Arial" w:hAnsi="Arial" w:cs="Arial"/>
          <w:lang w:val="es-CR"/>
        </w:rPr>
        <w:t xml:space="preserve"> </w:t>
      </w:r>
      <w:r w:rsidRPr="007B56C5">
        <w:rPr>
          <w:rFonts w:ascii="Arial" w:eastAsia="Times New Roman" w:hAnsi="Arial" w:cs="Arial"/>
          <w:lang w:val="es-CR"/>
        </w:rPr>
        <w:t>–</w:t>
      </w:r>
      <w:r w:rsidRPr="007B56C5">
        <w:rPr>
          <w:rFonts w:ascii="Arial" w:hAnsi="Arial" w:cs="Arial"/>
          <w:lang w:val="es-CR"/>
        </w:rPr>
        <w:t xml:space="preserve"> Abordar las grandes y alarmantes brechas de datos que a la fecha han dificultado comprender la dimensión y la importancia del sector de vivienda, sobre todo del sector informal.</w:t>
      </w:r>
    </w:p>
    <w:p w14:paraId="25DCDF72" w14:textId="77777777" w:rsidR="004B7248" w:rsidRPr="007B56C5" w:rsidRDefault="004B7248" w:rsidP="004B7248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lang w:val="es-CR"/>
        </w:rPr>
      </w:pPr>
      <w:r w:rsidRPr="007B56C5">
        <w:rPr>
          <w:rFonts w:ascii="Arial" w:hAnsi="Arial" w:cs="Arial"/>
          <w:b/>
          <w:bCs/>
          <w:lang w:val="es-CR"/>
        </w:rPr>
        <w:t>Diseñar políticas correctamente</w:t>
      </w:r>
      <w:r w:rsidRPr="007B56C5">
        <w:rPr>
          <w:rFonts w:ascii="Arial" w:eastAsia="Times New Roman" w:hAnsi="Arial" w:cs="Arial"/>
          <w:lang w:val="es-CR"/>
        </w:rPr>
        <w:t xml:space="preserve"> – L</w:t>
      </w:r>
      <w:r w:rsidRPr="007B56C5">
        <w:rPr>
          <w:rFonts w:ascii="Arial" w:hAnsi="Arial" w:cs="Arial"/>
          <w:lang w:val="es-CR"/>
        </w:rPr>
        <w:t>as políticas deben diseñarse adecuadamente para garantizar una máxima recuperación económica y una distribución equitativa de los beneficios.</w:t>
      </w:r>
    </w:p>
    <w:p w14:paraId="14DE4945" w14:textId="73D0EA49" w:rsidR="004B7248" w:rsidRPr="007B56C5" w:rsidRDefault="004B7248" w:rsidP="002114E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7B56C5">
        <w:rPr>
          <w:rFonts w:ascii="Arial" w:hAnsi="Arial" w:cs="Arial"/>
          <w:b/>
          <w:bCs/>
          <w:lang w:val="es-CR"/>
        </w:rPr>
        <w:t>Crear mercados inclusivos</w:t>
      </w:r>
      <w:r w:rsidRPr="007B56C5">
        <w:rPr>
          <w:rFonts w:ascii="Arial" w:hAnsi="Arial" w:cs="Arial"/>
          <w:lang w:val="es-CR"/>
        </w:rPr>
        <w:t xml:space="preserve"> </w:t>
      </w:r>
      <w:r w:rsidRPr="007B56C5">
        <w:rPr>
          <w:rFonts w:ascii="Arial" w:eastAsia="Times New Roman" w:hAnsi="Arial" w:cs="Arial"/>
          <w:lang w:val="es-CR"/>
        </w:rPr>
        <w:t>–</w:t>
      </w:r>
      <w:r w:rsidRPr="007B56C5">
        <w:rPr>
          <w:rFonts w:ascii="Arial" w:hAnsi="Arial" w:cs="Arial"/>
          <w:lang w:val="es-CR"/>
        </w:rPr>
        <w:t xml:space="preserve"> Usar la etapa de respuesta al COVID-19 como una oportunidad para crear mercados de vivienda más inclusivos que aborden varios niveles de ingresos, así como el alojamiento propio/alquilado y formal/informal.</w:t>
      </w:r>
    </w:p>
    <w:sectPr w:rsidR="004B7248" w:rsidRPr="007B56C5" w:rsidSect="00407BFE">
      <w:footerReference w:type="default" r:id="rId13"/>
      <w:headerReference w:type="first" r:id="rId14"/>
      <w:footerReference w:type="first" r:id="rId15"/>
      <w:pgSz w:w="12191" w:h="15819"/>
      <w:pgMar w:top="1224" w:right="1224" w:bottom="810" w:left="1008" w:header="720" w:footer="220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37428" w14:textId="77777777" w:rsidR="0091692B" w:rsidRDefault="0091692B">
      <w:pPr>
        <w:spacing w:after="0" w:line="240" w:lineRule="auto"/>
      </w:pPr>
      <w:r>
        <w:separator/>
      </w:r>
    </w:p>
  </w:endnote>
  <w:endnote w:type="continuationSeparator" w:id="0">
    <w:p w14:paraId="6323D64D" w14:textId="77777777" w:rsidR="0091692B" w:rsidRDefault="0091692B">
      <w:pPr>
        <w:spacing w:after="0" w:line="240" w:lineRule="auto"/>
      </w:pPr>
      <w:r>
        <w:continuationSeparator/>
      </w:r>
    </w:p>
  </w:endnote>
  <w:endnote w:type="continuationNotice" w:id="1">
    <w:p w14:paraId="0C41C78B" w14:textId="77777777" w:rsidR="0091692B" w:rsidRDefault="009169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8910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0FDD3" w14:textId="0208F21B" w:rsidR="00407BFE" w:rsidRPr="00FA0FD8" w:rsidRDefault="00407BFE" w:rsidP="00407BFE">
        <w:pPr>
          <w:pStyle w:val="Footer"/>
          <w:rPr>
            <w:rFonts w:ascii="Arial" w:hAnsi="Arial" w:cs="Arial"/>
            <w:b/>
            <w:bCs/>
            <w:i/>
            <w:iCs/>
            <w:sz w:val="18"/>
            <w:szCs w:val="18"/>
            <w:lang w:val="es-CR"/>
          </w:rPr>
        </w:pPr>
        <w:r w:rsidRPr="00C2184A">
          <w:rPr>
            <w:rFonts w:ascii="Arial" w:hAnsi="Arial" w:cs="Arial"/>
            <w:b/>
            <w:bCs/>
            <w:i/>
            <w:iCs/>
            <w:sz w:val="18"/>
            <w:szCs w:val="18"/>
            <w:lang w:val="es-CR"/>
          </w:rPr>
          <w:t xml:space="preserve">Versión actualizada el </w:t>
        </w:r>
        <w:r w:rsidR="00C2184A" w:rsidRPr="00C2184A">
          <w:rPr>
            <w:rFonts w:ascii="Arial" w:hAnsi="Arial" w:cs="Arial"/>
            <w:b/>
            <w:bCs/>
            <w:i/>
            <w:iCs/>
            <w:sz w:val="18"/>
            <w:szCs w:val="18"/>
            <w:lang w:val="es-CR"/>
          </w:rPr>
          <w:t>2</w:t>
        </w:r>
        <w:r w:rsidR="00A14DE8" w:rsidRPr="00C2184A">
          <w:rPr>
            <w:rFonts w:ascii="Arial" w:hAnsi="Arial" w:cs="Arial"/>
            <w:b/>
            <w:bCs/>
            <w:i/>
            <w:iCs/>
            <w:sz w:val="18"/>
            <w:szCs w:val="18"/>
            <w:lang w:val="es-CR"/>
          </w:rPr>
          <w:t xml:space="preserve">8 </w:t>
        </w:r>
        <w:r w:rsidRPr="00C2184A">
          <w:rPr>
            <w:rFonts w:ascii="Arial" w:hAnsi="Arial" w:cs="Arial"/>
            <w:b/>
            <w:bCs/>
            <w:i/>
            <w:iCs/>
            <w:sz w:val="18"/>
            <w:szCs w:val="18"/>
            <w:lang w:val="es-CR"/>
          </w:rPr>
          <w:t xml:space="preserve">de </w:t>
        </w:r>
        <w:r w:rsidR="00A14DE8" w:rsidRPr="00C2184A">
          <w:rPr>
            <w:rFonts w:ascii="Arial" w:hAnsi="Arial" w:cs="Arial"/>
            <w:b/>
            <w:bCs/>
            <w:i/>
            <w:iCs/>
            <w:sz w:val="18"/>
            <w:szCs w:val="18"/>
            <w:lang w:val="es-CR"/>
          </w:rPr>
          <w:t>mayo</w:t>
        </w:r>
        <w:r w:rsidRPr="00C2184A">
          <w:rPr>
            <w:rFonts w:ascii="Arial" w:hAnsi="Arial" w:cs="Arial"/>
            <w:b/>
            <w:bCs/>
            <w:i/>
            <w:iCs/>
            <w:sz w:val="18"/>
            <w:szCs w:val="18"/>
            <w:lang w:val="es-CR"/>
          </w:rPr>
          <w:t>, 2020.</w:t>
        </w:r>
      </w:p>
      <w:p w14:paraId="3A641727" w14:textId="18B67D25" w:rsidR="00256115" w:rsidRDefault="002561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A17B6" w14:textId="5F617F78" w:rsidR="00B141A3" w:rsidRDefault="00B1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0250" w14:textId="579A19E1" w:rsidR="00B141A3" w:rsidRDefault="00B141A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67C80" w14:textId="77777777" w:rsidR="0091692B" w:rsidRDefault="0091692B">
      <w:pPr>
        <w:spacing w:after="0" w:line="240" w:lineRule="auto"/>
      </w:pPr>
      <w:r>
        <w:separator/>
      </w:r>
    </w:p>
  </w:footnote>
  <w:footnote w:type="continuationSeparator" w:id="0">
    <w:p w14:paraId="2C9C14FD" w14:textId="77777777" w:rsidR="0091692B" w:rsidRDefault="0091692B">
      <w:pPr>
        <w:spacing w:after="0" w:line="240" w:lineRule="auto"/>
      </w:pPr>
      <w:r>
        <w:continuationSeparator/>
      </w:r>
    </w:p>
  </w:footnote>
  <w:footnote w:type="continuationNotice" w:id="1">
    <w:p w14:paraId="3212EB7A" w14:textId="77777777" w:rsidR="0091692B" w:rsidRDefault="009169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0B6B" w14:textId="36C9852E" w:rsidR="00B141A3" w:rsidRDefault="00D51691">
    <w:pPr>
      <w:pStyle w:val="Header"/>
      <w:tabs>
        <w:tab w:val="left" w:pos="27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C0708F4" wp14:editId="6EDBF14A">
              <wp:simplePos x="0" y="0"/>
              <wp:positionH relativeFrom="column">
                <wp:posOffset>-213360</wp:posOffset>
              </wp:positionH>
              <wp:positionV relativeFrom="paragraph">
                <wp:posOffset>-6927</wp:posOffset>
              </wp:positionV>
              <wp:extent cx="5223164" cy="108758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3164" cy="10875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A3C84D" w14:textId="2DA8E785" w:rsidR="00B141A3" w:rsidRPr="000D3200" w:rsidRDefault="00D51691" w:rsidP="00D51691">
                          <w:pPr>
                            <w:pStyle w:val="encabezado4"/>
                            <w:spacing w:line="240" w:lineRule="auto"/>
                            <w:rPr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  <w:lang w:val="es-CR"/>
                            </w:rPr>
                          </w:pPr>
                          <w:r w:rsidRPr="000D3200">
                            <w:rPr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  <w:lang w:val="es-CR"/>
                            </w:rPr>
                            <w:t>Cornerstone of Recovery Report</w:t>
                          </w:r>
                        </w:p>
                        <w:p w14:paraId="5A773168" w14:textId="16B1CB5C" w:rsidR="00184322" w:rsidRPr="001C025D" w:rsidRDefault="00184322" w:rsidP="001C025D">
                          <w:pPr>
                            <w:pStyle w:val="encabezado4"/>
                            <w:spacing w:line="240" w:lineRule="auto"/>
                            <w:rPr>
                              <w:b w:val="0"/>
                              <w:bCs/>
                              <w:color w:val="FFFFFF" w:themeColor="background1"/>
                              <w:sz w:val="22"/>
                              <w:szCs w:val="22"/>
                              <w:lang w:val="es-CR"/>
                            </w:rPr>
                          </w:pPr>
                          <w:r w:rsidRPr="001C025D">
                            <w:rPr>
                              <w:b w:val="0"/>
                              <w:bCs/>
                              <w:color w:val="FFFFFF" w:themeColor="background1"/>
                              <w:sz w:val="22"/>
                              <w:szCs w:val="22"/>
                              <w:lang w:val="es-CR"/>
                            </w:rPr>
                            <w:t>Cómo la vivienda puede ayudar a las economías de mercados emergentes a recuperarse de COVID-19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0708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6.8pt;margin-top:-.55pt;width:411.25pt;height:85.6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" filled="f" stroked="f">
              <v:textbox inset="0">
                <w:txbxContent>
                  <w:p w14:paraId="38A3C84D" w14:textId="2DA8E785" w:rsidR="00B141A3" w:rsidRPr="000D3200" w:rsidRDefault="00D51691" w:rsidP="00D51691">
                    <w:pPr>
                      <w:pStyle w:val="encabezado4"/>
                      <w:spacing w:line="240" w:lineRule="auto"/>
                      <w:rPr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  <w:lang w:val="es-CR"/>
                      </w:rPr>
                    </w:pPr>
                    <w:r w:rsidRPr="000D3200">
                      <w:rPr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  <w:lang w:val="es-CR"/>
                      </w:rPr>
                      <w:t>Cornerstone of Recovery Report</w:t>
                    </w:r>
                  </w:p>
                  <w:p w14:paraId="5A773168" w14:textId="16B1CB5C" w:rsidR="00184322" w:rsidRPr="001C025D" w:rsidRDefault="00184322" w:rsidP="001C025D">
                    <w:pPr>
                      <w:pStyle w:val="encabezado4"/>
                      <w:spacing w:line="240" w:lineRule="auto"/>
                      <w:rPr>
                        <w:b w:val="0"/>
                        <w:bCs/>
                        <w:color w:val="FFFFFF" w:themeColor="background1"/>
                        <w:sz w:val="22"/>
                        <w:szCs w:val="22"/>
                        <w:lang w:val="es-CR"/>
                      </w:rPr>
                    </w:pPr>
                    <w:r w:rsidRPr="001C025D">
                      <w:rPr>
                        <w:b w:val="0"/>
                        <w:bCs/>
                        <w:color w:val="FFFFFF" w:themeColor="background1"/>
                        <w:sz w:val="22"/>
                        <w:szCs w:val="22"/>
                        <w:lang w:val="es-CR"/>
                      </w:rPr>
                      <w:t>Cómo la vivienda puede ayudar a las economías de mercados emergentes a recuperarse de COVID-19</w:t>
                    </w:r>
                  </w:p>
                </w:txbxContent>
              </v:textbox>
            </v:shape>
          </w:pict>
        </mc:Fallback>
      </mc:AlternateContent>
    </w:r>
    <w:r w:rsidR="00B141A3">
      <w:rPr>
        <w:noProof/>
      </w:rPr>
      <w:drawing>
        <wp:anchor distT="0" distB="0" distL="114300" distR="114300" simplePos="0" relativeHeight="251657217" behindDoc="1" locked="0" layoutInCell="1" allowOverlap="1" wp14:anchorId="7E1B4F0C" wp14:editId="2386BE2A">
          <wp:simplePos x="0" y="0"/>
          <wp:positionH relativeFrom="leftMargin">
            <wp:posOffset>120650</wp:posOffset>
          </wp:positionH>
          <wp:positionV relativeFrom="page">
            <wp:posOffset>-73025</wp:posOffset>
          </wp:positionV>
          <wp:extent cx="7543800" cy="1749425"/>
          <wp:effectExtent l="0" t="0" r="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810" cy="174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1A3">
      <w:rPr>
        <w:noProof/>
      </w:rPr>
      <mc:AlternateContent>
        <mc:Choice Requires="wps">
          <w:drawing>
            <wp:anchor distT="457200" distB="0" distL="114300" distR="114300" simplePos="0" relativeHeight="251657218" behindDoc="0" locked="0" layoutInCell="1" allowOverlap="1" wp14:anchorId="556C3B9B" wp14:editId="033A0B8E">
              <wp:simplePos x="0" y="0"/>
              <wp:positionH relativeFrom="column">
                <wp:posOffset>-810260</wp:posOffset>
              </wp:positionH>
              <wp:positionV relativeFrom="paragraph">
                <wp:posOffset>891540</wp:posOffset>
              </wp:positionV>
              <wp:extent cx="7543800" cy="342900"/>
              <wp:effectExtent l="0" t="0" r="0" b="12700"/>
              <wp:wrapSquare wrapText="bothSides"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342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497815" id="Rectangle 30" o:spid="_x0000_s1026" style="position:absolute;margin-left:-63.8pt;margin-top:70.2pt;width:594pt;height:27pt;z-index:251657218;visibility:visible;mso-wrap-style:square;mso-wrap-distance-left:9pt;mso-wrap-distance-top:36pt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" fillcolor="white [3212]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6C1"/>
    <w:multiLevelType w:val="multilevel"/>
    <w:tmpl w:val="0ADE26C1"/>
    <w:lvl w:ilvl="0">
      <w:start w:val="1"/>
      <w:numFmt w:val="bullet"/>
      <w:pStyle w:val="vietas2"/>
      <w:lvlText w:val=""/>
      <w:lvlJc w:val="left"/>
      <w:pPr>
        <w:tabs>
          <w:tab w:val="left" w:pos="576"/>
        </w:tabs>
        <w:ind w:left="57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B554B61"/>
    <w:multiLevelType w:val="hybridMultilevel"/>
    <w:tmpl w:val="2D36E9F8"/>
    <w:lvl w:ilvl="0" w:tplc="DA6E4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BA7C1"/>
    <w:multiLevelType w:val="hybridMultilevel"/>
    <w:tmpl w:val="C961CA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FB06563"/>
    <w:multiLevelType w:val="hybridMultilevel"/>
    <w:tmpl w:val="E6FE6628"/>
    <w:lvl w:ilvl="0" w:tplc="88882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4235C"/>
    <w:multiLevelType w:val="hybridMultilevel"/>
    <w:tmpl w:val="80C4472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0195BCC"/>
    <w:multiLevelType w:val="hybridMultilevel"/>
    <w:tmpl w:val="F3D2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A1F23"/>
    <w:multiLevelType w:val="hybridMultilevel"/>
    <w:tmpl w:val="EDE87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02CB82A">
      <w:start w:val="1"/>
      <w:numFmt w:val="decimal"/>
      <w:lvlText w:val="%3-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056BF"/>
    <w:multiLevelType w:val="hybridMultilevel"/>
    <w:tmpl w:val="8E283516"/>
    <w:lvl w:ilvl="0" w:tplc="F4F4CB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A6C3C"/>
    <w:multiLevelType w:val="hybridMultilevel"/>
    <w:tmpl w:val="15E44AE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B1426"/>
    <w:multiLevelType w:val="hybridMultilevel"/>
    <w:tmpl w:val="8DAED192"/>
    <w:lvl w:ilvl="0" w:tplc="140A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980" w:hanging="360"/>
      </w:pPr>
    </w:lvl>
    <w:lvl w:ilvl="2" w:tplc="140A001B" w:tentative="1">
      <w:start w:val="1"/>
      <w:numFmt w:val="lowerRoman"/>
      <w:lvlText w:val="%3."/>
      <w:lvlJc w:val="right"/>
      <w:pPr>
        <w:ind w:left="2700" w:hanging="180"/>
      </w:pPr>
    </w:lvl>
    <w:lvl w:ilvl="3" w:tplc="140A000F" w:tentative="1">
      <w:start w:val="1"/>
      <w:numFmt w:val="decimal"/>
      <w:lvlText w:val="%4."/>
      <w:lvlJc w:val="left"/>
      <w:pPr>
        <w:ind w:left="3420" w:hanging="360"/>
      </w:pPr>
    </w:lvl>
    <w:lvl w:ilvl="4" w:tplc="140A0019" w:tentative="1">
      <w:start w:val="1"/>
      <w:numFmt w:val="lowerLetter"/>
      <w:lvlText w:val="%5."/>
      <w:lvlJc w:val="left"/>
      <w:pPr>
        <w:ind w:left="4140" w:hanging="360"/>
      </w:pPr>
    </w:lvl>
    <w:lvl w:ilvl="5" w:tplc="140A001B" w:tentative="1">
      <w:start w:val="1"/>
      <w:numFmt w:val="lowerRoman"/>
      <w:lvlText w:val="%6."/>
      <w:lvlJc w:val="right"/>
      <w:pPr>
        <w:ind w:left="4860" w:hanging="180"/>
      </w:pPr>
    </w:lvl>
    <w:lvl w:ilvl="6" w:tplc="140A000F" w:tentative="1">
      <w:start w:val="1"/>
      <w:numFmt w:val="decimal"/>
      <w:lvlText w:val="%7."/>
      <w:lvlJc w:val="left"/>
      <w:pPr>
        <w:ind w:left="5580" w:hanging="360"/>
      </w:pPr>
    </w:lvl>
    <w:lvl w:ilvl="7" w:tplc="140A0019" w:tentative="1">
      <w:start w:val="1"/>
      <w:numFmt w:val="lowerLetter"/>
      <w:lvlText w:val="%8."/>
      <w:lvlJc w:val="left"/>
      <w:pPr>
        <w:ind w:left="6300" w:hanging="360"/>
      </w:pPr>
    </w:lvl>
    <w:lvl w:ilvl="8" w:tplc="1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1EA76E9"/>
    <w:multiLevelType w:val="hybridMultilevel"/>
    <w:tmpl w:val="A84C0F40"/>
    <w:lvl w:ilvl="0" w:tplc="77E27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D7" w:themeColor="accent1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67D70"/>
    <w:multiLevelType w:val="hybridMultilevel"/>
    <w:tmpl w:val="5E8EE0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B1CAB"/>
    <w:multiLevelType w:val="hybridMultilevel"/>
    <w:tmpl w:val="28F00C6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81D93"/>
    <w:multiLevelType w:val="multilevel"/>
    <w:tmpl w:val="75C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852C7E"/>
    <w:multiLevelType w:val="hybridMultilevel"/>
    <w:tmpl w:val="A094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55772"/>
    <w:multiLevelType w:val="hybridMultilevel"/>
    <w:tmpl w:val="CDD4BFB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A2DC1"/>
    <w:multiLevelType w:val="hybridMultilevel"/>
    <w:tmpl w:val="895E73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436295"/>
    <w:multiLevelType w:val="hybridMultilevel"/>
    <w:tmpl w:val="8AD20FA4"/>
    <w:lvl w:ilvl="0" w:tplc="5FA4A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CR"/>
      </w:rPr>
    </w:lvl>
    <w:lvl w:ilvl="1" w:tplc="58D09C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EBD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EA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82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A238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823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901C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8E1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D11F3"/>
    <w:multiLevelType w:val="hybridMultilevel"/>
    <w:tmpl w:val="B03A3DC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23DB7"/>
    <w:multiLevelType w:val="multilevel"/>
    <w:tmpl w:val="4E28EB18"/>
    <w:lvl w:ilvl="0">
      <w:start w:val="1"/>
      <w:numFmt w:val="decimal"/>
      <w:pStyle w:val="vineta1"/>
      <w:lvlText w:val="%1."/>
      <w:lvlJc w:val="left"/>
      <w:pPr>
        <w:tabs>
          <w:tab w:val="left" w:pos="288"/>
        </w:tabs>
        <w:ind w:left="288" w:hanging="288"/>
      </w:pPr>
      <w:rPr>
        <w:rFonts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0B04ED8"/>
    <w:multiLevelType w:val="hybridMultilevel"/>
    <w:tmpl w:val="2078151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437AD"/>
    <w:multiLevelType w:val="hybridMultilevel"/>
    <w:tmpl w:val="203278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C6451"/>
    <w:multiLevelType w:val="hybridMultilevel"/>
    <w:tmpl w:val="816EF5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0047F"/>
    <w:multiLevelType w:val="hybridMultilevel"/>
    <w:tmpl w:val="75D2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23"/>
  </w:num>
  <w:num w:numId="5">
    <w:abstractNumId w:val="19"/>
  </w:num>
  <w:num w:numId="6">
    <w:abstractNumId w:val="19"/>
  </w:num>
  <w:num w:numId="7">
    <w:abstractNumId w:val="14"/>
  </w:num>
  <w:num w:numId="8">
    <w:abstractNumId w:val="7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8"/>
  </w:num>
  <w:num w:numId="18">
    <w:abstractNumId w:val="11"/>
  </w:num>
  <w:num w:numId="19">
    <w:abstractNumId w:val="12"/>
  </w:num>
  <w:num w:numId="20">
    <w:abstractNumId w:val="22"/>
  </w:num>
  <w:num w:numId="21">
    <w:abstractNumId w:val="9"/>
  </w:num>
  <w:num w:numId="22">
    <w:abstractNumId w:val="4"/>
  </w:num>
  <w:num w:numId="23">
    <w:abstractNumId w:val="10"/>
  </w:num>
  <w:num w:numId="24">
    <w:abstractNumId w:val="19"/>
  </w:num>
  <w:num w:numId="25">
    <w:abstractNumId w:val="13"/>
  </w:num>
  <w:num w:numId="26">
    <w:abstractNumId w:val="19"/>
  </w:num>
  <w:num w:numId="27">
    <w:abstractNumId w:val="8"/>
  </w:num>
  <w:num w:numId="28">
    <w:abstractNumId w:val="1"/>
  </w:num>
  <w:num w:numId="29">
    <w:abstractNumId w:val="3"/>
  </w:num>
  <w:num w:numId="30">
    <w:abstractNumId w:val="16"/>
  </w:num>
  <w:num w:numId="31">
    <w:abstractNumId w:val="21"/>
  </w:num>
  <w:num w:numId="32">
    <w:abstractNumId w:val="20"/>
  </w:num>
  <w:num w:numId="33">
    <w:abstractNumId w:val="2"/>
  </w:num>
  <w:num w:numId="34">
    <w:abstractNumId w:val="17"/>
  </w:num>
  <w:num w:numId="35">
    <w:abstractNumId w:val="1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1"/>
    <w:rsid w:val="00010D0F"/>
    <w:rsid w:val="000262DA"/>
    <w:rsid w:val="00027687"/>
    <w:rsid w:val="00030BB6"/>
    <w:rsid w:val="00035952"/>
    <w:rsid w:val="000366AC"/>
    <w:rsid w:val="00043EEC"/>
    <w:rsid w:val="00045A73"/>
    <w:rsid w:val="00046AE2"/>
    <w:rsid w:val="000475B0"/>
    <w:rsid w:val="00063DD6"/>
    <w:rsid w:val="00064D5C"/>
    <w:rsid w:val="00074D95"/>
    <w:rsid w:val="00081DE0"/>
    <w:rsid w:val="00085686"/>
    <w:rsid w:val="000C028D"/>
    <w:rsid w:val="000C4340"/>
    <w:rsid w:val="000D3200"/>
    <w:rsid w:val="000D7243"/>
    <w:rsid w:val="000E46CA"/>
    <w:rsid w:val="000F1625"/>
    <w:rsid w:val="0010181C"/>
    <w:rsid w:val="00106791"/>
    <w:rsid w:val="00111843"/>
    <w:rsid w:val="001137FC"/>
    <w:rsid w:val="00121376"/>
    <w:rsid w:val="00134711"/>
    <w:rsid w:val="0014304E"/>
    <w:rsid w:val="00143446"/>
    <w:rsid w:val="00162ED4"/>
    <w:rsid w:val="00166C5E"/>
    <w:rsid w:val="00174714"/>
    <w:rsid w:val="00184322"/>
    <w:rsid w:val="00192CD1"/>
    <w:rsid w:val="001A0BFE"/>
    <w:rsid w:val="001A2DD1"/>
    <w:rsid w:val="001A3F4B"/>
    <w:rsid w:val="001C025D"/>
    <w:rsid w:val="001C05E4"/>
    <w:rsid w:val="001C097F"/>
    <w:rsid w:val="001D0A7F"/>
    <w:rsid w:val="001D151D"/>
    <w:rsid w:val="001D6DBE"/>
    <w:rsid w:val="00201E8D"/>
    <w:rsid w:val="00206241"/>
    <w:rsid w:val="0020731E"/>
    <w:rsid w:val="002075BC"/>
    <w:rsid w:val="0021091B"/>
    <w:rsid w:val="0022658A"/>
    <w:rsid w:val="002354FE"/>
    <w:rsid w:val="00236C04"/>
    <w:rsid w:val="00243135"/>
    <w:rsid w:val="0025432A"/>
    <w:rsid w:val="00256115"/>
    <w:rsid w:val="00263857"/>
    <w:rsid w:val="0026512A"/>
    <w:rsid w:val="002712FF"/>
    <w:rsid w:val="00277396"/>
    <w:rsid w:val="00287F55"/>
    <w:rsid w:val="002B236B"/>
    <w:rsid w:val="002B2512"/>
    <w:rsid w:val="002C0872"/>
    <w:rsid w:val="002D2AFB"/>
    <w:rsid w:val="002D5F8A"/>
    <w:rsid w:val="0031779D"/>
    <w:rsid w:val="003214E6"/>
    <w:rsid w:val="00342303"/>
    <w:rsid w:val="00343C3C"/>
    <w:rsid w:val="00344ABB"/>
    <w:rsid w:val="003516F1"/>
    <w:rsid w:val="00351B92"/>
    <w:rsid w:val="0037078A"/>
    <w:rsid w:val="00387B43"/>
    <w:rsid w:val="003C18A5"/>
    <w:rsid w:val="003C6BFF"/>
    <w:rsid w:val="003D0BE7"/>
    <w:rsid w:val="003D28E7"/>
    <w:rsid w:val="00407BFE"/>
    <w:rsid w:val="00452540"/>
    <w:rsid w:val="00467EDE"/>
    <w:rsid w:val="00475260"/>
    <w:rsid w:val="00480378"/>
    <w:rsid w:val="004A244B"/>
    <w:rsid w:val="004B7248"/>
    <w:rsid w:val="004C68BE"/>
    <w:rsid w:val="004C6FBF"/>
    <w:rsid w:val="004D2150"/>
    <w:rsid w:val="004D5B1C"/>
    <w:rsid w:val="004D72DE"/>
    <w:rsid w:val="004E52C7"/>
    <w:rsid w:val="00507471"/>
    <w:rsid w:val="00511B41"/>
    <w:rsid w:val="005306FA"/>
    <w:rsid w:val="0053282A"/>
    <w:rsid w:val="00534DA4"/>
    <w:rsid w:val="00541F9C"/>
    <w:rsid w:val="0059148B"/>
    <w:rsid w:val="00595850"/>
    <w:rsid w:val="005965C4"/>
    <w:rsid w:val="0059793F"/>
    <w:rsid w:val="005A3E17"/>
    <w:rsid w:val="005B3F3C"/>
    <w:rsid w:val="005C0BA7"/>
    <w:rsid w:val="005C517D"/>
    <w:rsid w:val="005E0604"/>
    <w:rsid w:val="005E1507"/>
    <w:rsid w:val="005E39CA"/>
    <w:rsid w:val="005E4322"/>
    <w:rsid w:val="00605115"/>
    <w:rsid w:val="00632159"/>
    <w:rsid w:val="006672DB"/>
    <w:rsid w:val="006715FE"/>
    <w:rsid w:val="00677C82"/>
    <w:rsid w:val="006A6D6F"/>
    <w:rsid w:val="006B4925"/>
    <w:rsid w:val="006C484F"/>
    <w:rsid w:val="006C6E6E"/>
    <w:rsid w:val="006D14FC"/>
    <w:rsid w:val="006D40C6"/>
    <w:rsid w:val="006D6C53"/>
    <w:rsid w:val="00700E29"/>
    <w:rsid w:val="007033C7"/>
    <w:rsid w:val="0070537A"/>
    <w:rsid w:val="007168CD"/>
    <w:rsid w:val="0072002A"/>
    <w:rsid w:val="00723DE8"/>
    <w:rsid w:val="00726DE9"/>
    <w:rsid w:val="00731288"/>
    <w:rsid w:val="00731373"/>
    <w:rsid w:val="00741471"/>
    <w:rsid w:val="00750BCF"/>
    <w:rsid w:val="00755288"/>
    <w:rsid w:val="00756F67"/>
    <w:rsid w:val="00764A54"/>
    <w:rsid w:val="00765880"/>
    <w:rsid w:val="00765BEE"/>
    <w:rsid w:val="007662E6"/>
    <w:rsid w:val="00775464"/>
    <w:rsid w:val="00777268"/>
    <w:rsid w:val="0079708B"/>
    <w:rsid w:val="007A055A"/>
    <w:rsid w:val="007A07C3"/>
    <w:rsid w:val="007B56C5"/>
    <w:rsid w:val="007E698C"/>
    <w:rsid w:val="007F3FD3"/>
    <w:rsid w:val="008044A7"/>
    <w:rsid w:val="008059AC"/>
    <w:rsid w:val="00815E0C"/>
    <w:rsid w:val="00817171"/>
    <w:rsid w:val="00820C40"/>
    <w:rsid w:val="00854890"/>
    <w:rsid w:val="00856B3B"/>
    <w:rsid w:val="008664D8"/>
    <w:rsid w:val="0086716C"/>
    <w:rsid w:val="00876989"/>
    <w:rsid w:val="00884214"/>
    <w:rsid w:val="008848C2"/>
    <w:rsid w:val="00895E08"/>
    <w:rsid w:val="008A005C"/>
    <w:rsid w:val="008A6BF5"/>
    <w:rsid w:val="008C0462"/>
    <w:rsid w:val="008C13EC"/>
    <w:rsid w:val="008C5743"/>
    <w:rsid w:val="008D4FEC"/>
    <w:rsid w:val="008E0FB5"/>
    <w:rsid w:val="008F2894"/>
    <w:rsid w:val="008F623C"/>
    <w:rsid w:val="00903957"/>
    <w:rsid w:val="009113CE"/>
    <w:rsid w:val="0091692B"/>
    <w:rsid w:val="00923DC2"/>
    <w:rsid w:val="00931740"/>
    <w:rsid w:val="00934127"/>
    <w:rsid w:val="009440F1"/>
    <w:rsid w:val="00955E80"/>
    <w:rsid w:val="00967075"/>
    <w:rsid w:val="009736FA"/>
    <w:rsid w:val="00984597"/>
    <w:rsid w:val="009A1B29"/>
    <w:rsid w:val="009B2386"/>
    <w:rsid w:val="009E206A"/>
    <w:rsid w:val="009F7A72"/>
    <w:rsid w:val="00A04085"/>
    <w:rsid w:val="00A14DE8"/>
    <w:rsid w:val="00A15A5F"/>
    <w:rsid w:val="00A25DFA"/>
    <w:rsid w:val="00A32F58"/>
    <w:rsid w:val="00A4293B"/>
    <w:rsid w:val="00A518B4"/>
    <w:rsid w:val="00A6166C"/>
    <w:rsid w:val="00A639AC"/>
    <w:rsid w:val="00A70F5A"/>
    <w:rsid w:val="00A86BF1"/>
    <w:rsid w:val="00A95EF6"/>
    <w:rsid w:val="00AA44DF"/>
    <w:rsid w:val="00AB0965"/>
    <w:rsid w:val="00AC6441"/>
    <w:rsid w:val="00AD7EE8"/>
    <w:rsid w:val="00AF0A2B"/>
    <w:rsid w:val="00AF3C43"/>
    <w:rsid w:val="00B07EE7"/>
    <w:rsid w:val="00B10361"/>
    <w:rsid w:val="00B12AB8"/>
    <w:rsid w:val="00B141A3"/>
    <w:rsid w:val="00B25DF2"/>
    <w:rsid w:val="00B56836"/>
    <w:rsid w:val="00B57BCC"/>
    <w:rsid w:val="00B746DE"/>
    <w:rsid w:val="00B872E7"/>
    <w:rsid w:val="00B92D54"/>
    <w:rsid w:val="00BA4DC8"/>
    <w:rsid w:val="00BA5EFD"/>
    <w:rsid w:val="00BB02EF"/>
    <w:rsid w:val="00BC50B3"/>
    <w:rsid w:val="00BD20F2"/>
    <w:rsid w:val="00BD699D"/>
    <w:rsid w:val="00BD7755"/>
    <w:rsid w:val="00BE4B53"/>
    <w:rsid w:val="00BF62AE"/>
    <w:rsid w:val="00C05062"/>
    <w:rsid w:val="00C2184A"/>
    <w:rsid w:val="00C26D46"/>
    <w:rsid w:val="00C350C1"/>
    <w:rsid w:val="00C3623E"/>
    <w:rsid w:val="00C553EC"/>
    <w:rsid w:val="00C5624E"/>
    <w:rsid w:val="00C725FA"/>
    <w:rsid w:val="00C80902"/>
    <w:rsid w:val="00C8382A"/>
    <w:rsid w:val="00C92F47"/>
    <w:rsid w:val="00CA3F46"/>
    <w:rsid w:val="00CD63F8"/>
    <w:rsid w:val="00CD7E55"/>
    <w:rsid w:val="00CF5EA9"/>
    <w:rsid w:val="00D0159F"/>
    <w:rsid w:val="00D04FC8"/>
    <w:rsid w:val="00D24E91"/>
    <w:rsid w:val="00D26B09"/>
    <w:rsid w:val="00D26BCD"/>
    <w:rsid w:val="00D31B67"/>
    <w:rsid w:val="00D42726"/>
    <w:rsid w:val="00D51691"/>
    <w:rsid w:val="00D63BD5"/>
    <w:rsid w:val="00D64EE4"/>
    <w:rsid w:val="00D809CC"/>
    <w:rsid w:val="00D86283"/>
    <w:rsid w:val="00D92D2D"/>
    <w:rsid w:val="00D96A53"/>
    <w:rsid w:val="00DB1BE9"/>
    <w:rsid w:val="00DB593F"/>
    <w:rsid w:val="00DB68AC"/>
    <w:rsid w:val="00DC16C9"/>
    <w:rsid w:val="00DC28C6"/>
    <w:rsid w:val="00DC7011"/>
    <w:rsid w:val="00DC7FCD"/>
    <w:rsid w:val="00DD463F"/>
    <w:rsid w:val="00DF05A6"/>
    <w:rsid w:val="00DF7CA8"/>
    <w:rsid w:val="00E0122F"/>
    <w:rsid w:val="00E029E4"/>
    <w:rsid w:val="00E06ACA"/>
    <w:rsid w:val="00E10A2E"/>
    <w:rsid w:val="00E348D4"/>
    <w:rsid w:val="00E45F12"/>
    <w:rsid w:val="00E56372"/>
    <w:rsid w:val="00E74768"/>
    <w:rsid w:val="00E85245"/>
    <w:rsid w:val="00E907E4"/>
    <w:rsid w:val="00E9471D"/>
    <w:rsid w:val="00E95CD0"/>
    <w:rsid w:val="00EA046B"/>
    <w:rsid w:val="00EA56DF"/>
    <w:rsid w:val="00EB58C2"/>
    <w:rsid w:val="00EC1EDA"/>
    <w:rsid w:val="00EC35AD"/>
    <w:rsid w:val="00EC7349"/>
    <w:rsid w:val="00F056B8"/>
    <w:rsid w:val="00F100AF"/>
    <w:rsid w:val="00F261B1"/>
    <w:rsid w:val="00F307F4"/>
    <w:rsid w:val="00F308A6"/>
    <w:rsid w:val="00F57260"/>
    <w:rsid w:val="00F648C3"/>
    <w:rsid w:val="00F777CA"/>
    <w:rsid w:val="00F81BFD"/>
    <w:rsid w:val="00F96D1F"/>
    <w:rsid w:val="00FB141F"/>
    <w:rsid w:val="00FD1988"/>
    <w:rsid w:val="00FD6843"/>
    <w:rsid w:val="00FE7648"/>
    <w:rsid w:val="4485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32E38DE"/>
  <w14:defaultImageDpi w14:val="300"/>
  <w15:docId w15:val="{29684E61-AE60-415C-9440-019FCB1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pPr>
      <w:keepNext/>
      <w:widowControl w:val="0"/>
      <w:tabs>
        <w:tab w:val="center" w:pos="4680"/>
      </w:tabs>
      <w:snapToGrid w:val="0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PageNumber">
    <w:name w:val="page number"/>
    <w:basedOn w:val="DefaultParagraphFont"/>
    <w:uiPriority w:val="99"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encabezado4">
    <w:name w:val="encabezado_4"/>
    <w:basedOn w:val="Normal"/>
    <w:qFormat/>
    <w:pPr>
      <w:tabs>
        <w:tab w:val="left" w:pos="288"/>
        <w:tab w:val="left" w:pos="576"/>
        <w:tab w:val="left" w:pos="864"/>
      </w:tabs>
      <w:spacing w:line="260" w:lineRule="exact"/>
    </w:pPr>
    <w:rPr>
      <w:rFonts w:ascii="Arial" w:hAnsi="Arial" w:cs="Arial"/>
      <w:b/>
      <w:sz w:val="18"/>
      <w:szCs w:val="18"/>
    </w:rPr>
  </w:style>
  <w:style w:type="paragraph" w:customStyle="1" w:styleId="headingcallout">
    <w:name w:val="heading_callout"/>
    <w:basedOn w:val="Normal"/>
    <w:qFormat/>
    <w:pPr>
      <w:tabs>
        <w:tab w:val="left" w:pos="288"/>
        <w:tab w:val="left" w:pos="576"/>
        <w:tab w:val="left" w:pos="864"/>
      </w:tabs>
    </w:pPr>
    <w:rPr>
      <w:rFonts w:ascii="Arial Bold" w:hAnsi="Arial Bold" w:cs="Arial"/>
      <w:b/>
      <w:bCs/>
      <w:color w:val="FFFFFF" w:themeColor="background1"/>
      <w:kern w:val="64"/>
      <w:sz w:val="80"/>
      <w:szCs w:val="80"/>
    </w:rPr>
  </w:style>
  <w:style w:type="paragraph" w:customStyle="1" w:styleId="contenido3">
    <w:name w:val="contenido_3"/>
    <w:basedOn w:val="Normal"/>
    <w:qFormat/>
    <w:pPr>
      <w:tabs>
        <w:tab w:val="left" w:pos="288"/>
        <w:tab w:val="left" w:pos="576"/>
        <w:tab w:val="left" w:pos="864"/>
      </w:tabs>
      <w:spacing w:line="260" w:lineRule="exact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Times New Roman" w:hAnsi="Arial" w:cs="Times New Roman"/>
      <w:b/>
      <w:sz w:val="28"/>
      <w:szCs w:val="20"/>
    </w:rPr>
  </w:style>
  <w:style w:type="paragraph" w:customStyle="1" w:styleId="bodyfooter">
    <w:name w:val="body_footer"/>
    <w:basedOn w:val="contenido3"/>
    <w:qFormat/>
    <w:pPr>
      <w:jc w:val="center"/>
    </w:pPr>
    <w:rPr>
      <w:sz w:val="15"/>
      <w:szCs w:val="15"/>
    </w:rPr>
  </w:style>
  <w:style w:type="paragraph" w:customStyle="1" w:styleId="contenido1">
    <w:name w:val="contenido_1"/>
    <w:basedOn w:val="Normal"/>
    <w:qFormat/>
    <w:pPr>
      <w:tabs>
        <w:tab w:val="left" w:pos="288"/>
        <w:tab w:val="left" w:pos="576"/>
        <w:tab w:val="left" w:pos="864"/>
      </w:tabs>
      <w:spacing w:before="260" w:line="260" w:lineRule="exact"/>
    </w:pPr>
    <w:rPr>
      <w:rFonts w:ascii="Arial" w:hAnsi="Arial" w:cs="Arial"/>
      <w:sz w:val="18"/>
      <w:szCs w:val="18"/>
    </w:rPr>
  </w:style>
  <w:style w:type="paragraph" w:customStyle="1" w:styleId="encabezado2">
    <w:name w:val="encabezado_2"/>
    <w:basedOn w:val="encabezado4"/>
    <w:qFormat/>
    <w:rPr>
      <w:color w:val="009BC1"/>
      <w:sz w:val="22"/>
      <w:szCs w:val="22"/>
    </w:rPr>
  </w:style>
  <w:style w:type="paragraph" w:customStyle="1" w:styleId="encabezado3">
    <w:name w:val="encabezado_3"/>
    <w:basedOn w:val="encabezado2"/>
    <w:qFormat/>
    <w:pPr>
      <w:spacing w:before="260"/>
    </w:pPr>
    <w:rPr>
      <w:bCs/>
      <w:caps/>
      <w:sz w:val="18"/>
    </w:rPr>
  </w:style>
  <w:style w:type="paragraph" w:customStyle="1" w:styleId="encabezado1">
    <w:name w:val="encabezado_1"/>
    <w:basedOn w:val="encabezado2"/>
    <w:qFormat/>
    <w:rPr>
      <w:sz w:val="28"/>
      <w:szCs w:val="28"/>
    </w:rPr>
  </w:style>
  <w:style w:type="paragraph" w:customStyle="1" w:styleId="contenido2">
    <w:name w:val="contenido_2"/>
    <w:basedOn w:val="contenido3"/>
    <w:qFormat/>
    <w:pPr>
      <w:ind w:firstLine="288"/>
    </w:pPr>
  </w:style>
  <w:style w:type="paragraph" w:customStyle="1" w:styleId="vineta1">
    <w:name w:val="vineta_1"/>
    <w:basedOn w:val="contenido2"/>
    <w:qFormat/>
    <w:pPr>
      <w:numPr>
        <w:numId w:val="1"/>
      </w:numPr>
    </w:pPr>
  </w:style>
  <w:style w:type="paragraph" w:customStyle="1" w:styleId="vietas2">
    <w:name w:val="viñetas_2"/>
    <w:basedOn w:val="contenido2"/>
    <w:qFormat/>
    <w:pPr>
      <w:numPr>
        <w:numId w:val="2"/>
      </w:numPr>
    </w:pPr>
  </w:style>
  <w:style w:type="paragraph" w:customStyle="1" w:styleId="heading26">
    <w:name w:val="heading_26"/>
    <w:basedOn w:val="encabezado1"/>
    <w:qFormat/>
    <w:pPr>
      <w:spacing w:line="600" w:lineRule="exact"/>
    </w:pPr>
    <w:rPr>
      <w:color w:val="009DCE"/>
      <w:sz w:val="52"/>
      <w:szCs w:val="52"/>
    </w:rPr>
  </w:style>
  <w:style w:type="paragraph" w:styleId="ListParagraph">
    <w:name w:val="List Paragraph"/>
    <w:basedOn w:val="Normal"/>
    <w:uiPriority w:val="34"/>
    <w:qFormat/>
    <w:rsid w:val="002354FE"/>
    <w:pPr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E348D4"/>
    <w:pPr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F5EA9"/>
    <w:pPr>
      <w:keepLines/>
      <w:widowControl/>
      <w:tabs>
        <w:tab w:val="clear" w:pos="4680"/>
      </w:tabs>
      <w:snapToGrid/>
      <w:spacing w:before="240" w:after="0"/>
      <w:outlineLvl w:val="9"/>
    </w:pPr>
    <w:rPr>
      <w:rFonts w:asciiTheme="majorHAnsi" w:eastAsiaTheme="majorEastAsia" w:hAnsiTheme="majorHAnsi" w:cstheme="majorBidi"/>
      <w:b w:val="0"/>
      <w:color w:val="0082A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6512A"/>
    <w:pPr>
      <w:spacing w:after="100"/>
      <w:ind w:left="220"/>
    </w:pPr>
    <w:rPr>
      <w:rFonts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2D5F8A"/>
    <w:pPr>
      <w:spacing w:before="120" w:after="220"/>
    </w:pPr>
    <w:rPr>
      <w:rFonts w:ascii="Arial" w:hAnsi="Arial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6512A"/>
    <w:pPr>
      <w:spacing w:after="100"/>
      <w:ind w:left="440"/>
    </w:pPr>
    <w:rPr>
      <w:rFonts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D724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0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05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05A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5A6"/>
    <w:rPr>
      <w:b/>
      <w:bCs/>
      <w:lang w:val="en-US" w:eastAsia="en-US"/>
    </w:rPr>
  </w:style>
  <w:style w:type="paragraph" w:customStyle="1" w:styleId="Default">
    <w:name w:val="Default"/>
    <w:rsid w:val="00036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imf.org/en/Topics/imf-and-covid19/Policy-Responses-to-COVID-1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ábitat para la Humanidad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00AFD7"/>
      </a:accent1>
      <a:accent2>
        <a:srgbClr val="C4D600"/>
      </a:accent2>
      <a:accent3>
        <a:srgbClr val="888B8D"/>
      </a:accent3>
      <a:accent4>
        <a:srgbClr val="385988"/>
      </a:accent4>
      <a:accent5>
        <a:srgbClr val="43B02A"/>
      </a:accent5>
      <a:accent6>
        <a:srgbClr val="FF671F"/>
      </a:accent6>
      <a:hlink>
        <a:srgbClr val="A4343A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1C81CAF9A4F438E8E71C8D6CACB03" ma:contentTypeVersion="15" ma:contentTypeDescription="Create a new document." ma:contentTypeScope="" ma:versionID="4da614149b171c64d964b34cb5b6c72a">
  <xsd:schema xmlns:xsd="http://www.w3.org/2001/XMLSchema" xmlns:xs="http://www.w3.org/2001/XMLSchema" xmlns:p="http://schemas.microsoft.com/office/2006/metadata/properties" xmlns:ns3="9d5dc565-189d-41aa-948b-73184a9e49c0" xmlns:ns4="ce464727-2ff2-4d4b-a476-896004c57865" targetNamespace="http://schemas.microsoft.com/office/2006/metadata/properties" ma:root="true" ma:fieldsID="2d0d84d54d6715d024b1086e133d1045" ns3:_="" ns4:_="">
    <xsd:import namespace="9d5dc565-189d-41aa-948b-73184a9e49c0"/>
    <xsd:import namespace="ce464727-2ff2-4d4b-a476-896004c57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dc565-189d-41aa-948b-73184a9e49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64727-2ff2-4d4b-a476-896004c57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90858D-CDC2-4AEF-870A-BB2F07978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7A473-5DC2-4624-A1B1-AC69A5E18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79B9C-3F7E-4F6F-B67B-C4BBC3B1E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dc565-189d-41aa-948b-73184a9e49c0"/>
    <ds:schemaRef ds:uri="ce464727-2ff2-4d4b-a476-896004c57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C248A9-DE67-43F2-9F10-4AF67F8E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HFHI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Nessamar</dc:creator>
  <cp:lastModifiedBy>Sofia Trejos</cp:lastModifiedBy>
  <cp:revision>7</cp:revision>
  <cp:lastPrinted>2020-09-02T17:22:00Z</cp:lastPrinted>
  <dcterms:created xsi:type="dcterms:W3CDTF">2020-10-01T16:05:00Z</dcterms:created>
  <dcterms:modified xsi:type="dcterms:W3CDTF">2020-10-02T22:46:00Z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  <property fmtid="{D5CDD505-2E9C-101B-9397-08002B2CF9AE}" pid="3" name="ContentTypeId">
    <vt:lpwstr>0x0101005C51C81CAF9A4F438E8E71C8D6CACB03</vt:lpwstr>
  </property>
</Properties>
</file>